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11" w:rsidRPr="00677F11" w:rsidRDefault="00677F11" w:rsidP="00677F11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677F11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677F11" w:rsidRPr="00677F11" w:rsidRDefault="00677F11" w:rsidP="00677F1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77F1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«Квадрат»</w:t>
      </w:r>
    </w:p>
    <w:p w:rsidR="00677F11" w:rsidRPr="00677F11" w:rsidRDefault="00677F11" w:rsidP="00677F1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77F1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многоэтажного многоквартирного жилого дома</w:t>
      </w:r>
    </w:p>
    <w:p w:rsidR="00677F11" w:rsidRPr="00677F11" w:rsidRDefault="00677F11" w:rsidP="00677F1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77F1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строительному </w:t>
      </w:r>
      <w:proofErr w:type="gramStart"/>
      <w:r w:rsidRPr="00677F1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адресу:  Рязанская</w:t>
      </w:r>
      <w:proofErr w:type="gramEnd"/>
      <w:r w:rsidRPr="00677F1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область, город Рязань, улица Шевченко, дом 82</w:t>
      </w:r>
    </w:p>
    <w:p w:rsidR="00677F11" w:rsidRPr="00677F11" w:rsidRDefault="00677F11" w:rsidP="00677F1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677F11" w:rsidRPr="00677F11" w:rsidRDefault="00677F11" w:rsidP="00677F1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677F11" w:rsidRPr="00677F11" w:rsidRDefault="00677F11" w:rsidP="00677F1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77F1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p w:rsidR="00677F11" w:rsidRPr="00677F11" w:rsidRDefault="00677F11" w:rsidP="00677F1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6563"/>
      </w:tblGrid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«Квадрат».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местонахождения: 391112, Рязанская область,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Рыбное, Весёлая улица, дом 18б, литера А.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ЗАО «Группа компаний «ЕДИНСТВО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  390013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Рязанская область, г. Рязань, Вокзальная улица, дом 41, пом. Н5.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9.00 до 19.00,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09.00 до 14.00,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выходной.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(4912) 900-700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Квадрат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Межрайонной Инспекцией ФНС России № 6 по Рязанской области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сентября 2014 года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1146215001020, ИНН 6213011270, КПП 621301001.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 Канке Александр Альфредович - 100% голосов.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3 предшествующих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14 октября 2014 года</w:t>
            </w: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Застройщиком с Обществом с ограниченной ответственностью </w:t>
            </w:r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«</w:t>
            </w:r>
            <w:proofErr w:type="spellStart"/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Стройпромальянс</w:t>
            </w:r>
            <w:proofErr w:type="spellEnd"/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»</w:t>
            </w: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заключен </w:t>
            </w:r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Договор подряда.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0027.04-2012-6215015030-С-135, выданное СРО НП «Объединение Рязанских строителей» 19.06.2012 г. на основании Решения Правления СРО НП «Объединение Рязанских строителей», протокол №96 от 19.06.2012 г. на неограниченный срок.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14 октября 2014 года</w:t>
            </w: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Застройщиком с Обществом с ограниченной </w:t>
            </w: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ответственностью </w:t>
            </w:r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«</w:t>
            </w:r>
            <w:proofErr w:type="spellStart"/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Стройтехальянс</w:t>
            </w:r>
            <w:proofErr w:type="spellEnd"/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»</w:t>
            </w: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заключен</w:t>
            </w:r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 Договор на выполнение строительного контроля.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0026.05-2013-6234001868-С-135, выданное СРО НП «Объединение Рязанских строителей» 24 апреля 2013 г. на основании Решения Правления СРО НП «Объединение Рязанских строителей», протокол №124 от 24.04.2013 г. на неограниченный срок.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– 0 рублей;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 – 0 рублей;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 – 0  рублей.</w:t>
            </w:r>
          </w:p>
        </w:tc>
      </w:tr>
    </w:tbl>
    <w:p w:rsidR="00677F11" w:rsidRPr="00677F11" w:rsidRDefault="00677F11" w:rsidP="00677F1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677F11" w:rsidRPr="00677F11" w:rsidRDefault="00677F11" w:rsidP="00677F1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77F1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p w:rsidR="00677F11" w:rsidRPr="00677F11" w:rsidRDefault="00677F11" w:rsidP="00677F1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7561"/>
      </w:tblGrid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многоэтажного многоквартирного жилого дома по строительному адресу: </w:t>
            </w: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Рязанская область, город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Рязань,  улица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Шевченко, дом 82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«здание дома»).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проекта (срок передачи) – до 30 июня 2018 года включительно.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негосударственной экспертизы №76-1-2-0076-14, утвержденное Генеральным директором ЗАО «Верхне-Волжский Институт Строительной Экспертизы и Консалтинга» 18.09.2014 года.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№RU62326000-144/2014/РС от «14»  октября  2014 года, выдано Администрацией города Рязани.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Застройщик на праве аренды владеет: 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земельным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участком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кадастровым номером 62:29:0070034:4647, адрес (местоположение): Рязанская область, г. Рязань, ул. Шевченко, 82 (Железнодорожный район), общей площадью – </w:t>
            </w: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3 700 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(три тысячи семьсот)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категория земель – земли населенных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пунктов(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 </w:t>
            </w: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на основании Договора аренды от 08.09.2014 года, зарегистрированного Управлением Федеральной службы государственной регистрации, кадастра и картографии по Рязанской области 22.09.2014 года за  №62-62-01/333/2014-023.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677F11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Собственники  земельного</w:t>
            </w:r>
            <w:proofErr w:type="gramEnd"/>
            <w:r w:rsidRPr="00677F11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участка: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- 1/3 (одна третья) </w:t>
            </w:r>
            <w:proofErr w:type="gramStart"/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доля  в</w:t>
            </w:r>
            <w:proofErr w:type="gramEnd"/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праве общей долевой собственности на  Участок принадлежит </w:t>
            </w:r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Назаровой О.Н.</w:t>
            </w: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25.08.2014 г., запись регистрации №62-62-01/299/2014-070.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Свидетельство о государственной регистрации права 62 –МД № 951847 от 25 августа 2014 года.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- 1/3 (одна третья) </w:t>
            </w:r>
            <w:proofErr w:type="gramStart"/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доля  в</w:t>
            </w:r>
            <w:proofErr w:type="gramEnd"/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праве общей долевой собственности на  Участок принадлежит </w:t>
            </w:r>
            <w:proofErr w:type="spellStart"/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Калининой</w:t>
            </w:r>
            <w:proofErr w:type="spellEnd"/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Е.Ю</w:t>
            </w: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 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25.08.2014 г., запись регистрации №62-62-01/299/2014-070.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Свидетельство о государственной регистрации права 62 –МД № 951846 от 25 августа 2014 года.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- 1/3 (одна третья) </w:t>
            </w:r>
            <w:proofErr w:type="gramStart"/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доля  в</w:t>
            </w:r>
            <w:proofErr w:type="gramEnd"/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праве общей долевой собственности на  Участок принадлежит </w:t>
            </w:r>
            <w:proofErr w:type="spellStart"/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Федоренчик</w:t>
            </w:r>
            <w:proofErr w:type="spellEnd"/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И.В.</w:t>
            </w: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25.08.2014 г., запись регистрации №62-62-01/299/2014-070.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Свидетельство о государственной регистрации права 62 –МД № 951848 от 25 августа 2014 года.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Элементы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предусмотрены элементы благоустройства: площадки для отдыха детей с размещением малых архитектурных форм, контейнерная площадка с твердым покрытием для мусорных контейнеров, устройство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проезда из асфальтобетона, открытая площадка для парковки автотранспорта. Все площадки имеют соответствующее покрытие. Для пешеходной связи разбивается сеть тротуаров. Покрытие проездов и тротуаров асфальтобетонное с бортовым камнем. Территория, свободная от застройки и проездов максимально озеленяется, высаживаются деревья и кустарники.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запроектирован пандус при входе в жилую часть здания дома с отметки тротуара до входной площадки крыльца подъезда;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вдоль обеих сторон всех пандусов предусматриваются ограждения с поручнями;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размеры входных тамбуров и дверных проемов соответствуют требованиям для доступа инвалидов на креслах-колясках;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для доступа инвалидов на все жилые этажи предусмотрен лифт грузоподъемностью 1000 кг, ширина дверного проема 1,2м, параметры кабины лифта достаточны для пользования инвалидом на кресле-коляске;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на открытой площадке для парковки автомашин выделены места для парковки автомашин водителей, относящихся к маломобильным группам населения.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Местоположение многоквартирного дома, его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77375" cy="8105775"/>
                  <wp:effectExtent l="0" t="0" r="9525" b="9525"/>
                  <wp:docPr id="1" name="Рисунок 1" descr="http://old.edinstvo62.ru/houses/94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94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375" cy="810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строительства здания дома расположена в Железнодорожном районе города Рязани. Памятников историко-культурного наследия на участке и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  территории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нет. 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дома расположено вне пределов охранной зоны и санитарно-защитных зон предприятий и сооружений.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  одно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-подъездное, 26-ти этажное  с подвальным и техническим этажами. Этажи с 1 по 25 жилые. На каждом этаже запроектировано 12 квартир. На жилых этажах расположены одно, двух, трехкомнатные квартиры. Вход в жилую часть дома организован с территории двора через входную группу по ступеням крыльца с навесом и по пандусу. Вход оборудован двойным тамбуром.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Конструктивная схема каркасная рамная с несущими железобетонными пилонами и стенами и плоскими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безбалочными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перекрытиями. Пространственная неизменяемость обеспечивается жесткостью узлов сопряжения пилонов с перекрытиями, жесткостью железобетонных стен, выполняющих роль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диафрагм,  дисками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перекрытий.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 из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крупноформатных керамических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поризованных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камней, толщиной 250 мм, с наружным утеплением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минераловатным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утеплением толщиной 120 мм и штукатурным слоем.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Межкомнатные перегородки – гипсовые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пазогребниевые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 толщиной 80 мм.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здания дома выполняются из тонкослойной штукатурки по утеплителю с последующей окраской фасадными красками.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квартиры имеют необходимый набор жилых и вспомогательных помещений, ориентация окон обеспечивает нормируемую инсоляцию в соответствии с требованиями СанПиН.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горячей воды на хозяйственно-бытовые нужды жильцов предусматривается в модульной газовой котельной, установленной на крыше. Котельная предназначена для теплоснабжения систем отопления и горячего водоснабжения. Трубопроводы </w:t>
            </w:r>
            <w:r w:rsidRPr="00677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подводки горячей воды в квартирах проектируется из полипропиленовых труб.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теплоснабжения здания дома является также проектируемая модульная газовая котельная, расположенная на крыше. Котельная оснащена необходимыми средствами автоматизации, обеспечивающими продолжительную непрерывную работу оборудования без постоянного персонала. Система отопления принята однотрубная с вертикальными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стояками./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p&gt;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водоснабжения здания дома являются внутриквартальные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  водопровода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здания дома предусмотрена раздельная система хозяйственно-питьевого и противопожарного назначения. Для учета расхода холодной воды на ответвлениях в каждую квартиру устанавливаются счетчики.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электроснабжения здания дома является проектируемая трансформаторная подстанция. Для электроснабжения здания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  с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секций  РУ-0,4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проектируемого ВРУ здания дома прокладываются две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взаиморезервируемые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кабельные линии.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предусматривается наружное электроосвещение проездов и прилегающей территории дома светильниками, устанавливаемыми на железобетонных опорах.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электроснабжения квартир предусмотрены щитки этажные распределения электроэнергии, устанавливаемые в поэтажных коридорах.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подвальном этаже предполагается размещение инженерно-технических коммуникаций, нежилых помещений (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кладовых), водомерного узла,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электрощитовой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помещения хранения уборочного инвентаря для уборки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здания дома.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проектной документации предусмотрено устройство сетей связи: телефонизация, радиофикация, телевидение, доступ в Интернет.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здании дома предусмотрена установка четырех лифтов.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 лифта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грузоподъемностью 400 кг, два – 1000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кг.Остановки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лифтов предусмотрены с 1 по 25 этажи. 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квартирах на кухнях предусмотрена установка газовых плит и газовых стояков.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предусмотрена естественная вытяжная вентиляция.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– сваи. Ростверк выполнен в виде монолитной железобетонной плиты.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– плоская с организованным внутренним водостоком. На кровле располагается крышная котельная. Вход в котельную выполнен с кровли. Вокруг котельной предусмотрено негорючее покрытие кровли.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Оконные проемы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остекляются  ПВХ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-профилем.   Лоджии, балконы остекляются ПВХ или алюминиевым профилем, согласно фасадного решения.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 района: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Остановки общественного транспорта: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Островского («Лицей №7») Транспорт</w:t>
            </w: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№32, троллейбус №5, маршрутное такси №№58, 62,82  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«9-я Линия»  Транспорт: Автобус №23, коммерческий автобус № 35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Высоковольтная  «Фабрика Рязанские узоры» Транспорт: Автобусы №№20, 39, Маршрутное такси №№ 49, 58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Кардиодиспансер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Транспорт: троллейбус №5, автобус №23, коммерческий автобус №32, №35, маршрутное такси №№ 58,62,78,82,85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Учебные заведения: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 24 б (ул. Весенняя, 14)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 34 ( ул.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Стройкова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86)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№33 (ул. Островского, 44)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Гимназия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(ул. Гагарина, 158)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Рязанский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радиотехнический университет (ул. Гагарина, 59/1)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Банки: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ПриоВнешторгБанк</w:t>
            </w:r>
            <w:proofErr w:type="spellEnd"/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Черновицкая, д.1)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Сбербанк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(ул. 4-я Линия, д.1)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Детские сады: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 46 (ул. Ленинского Комсомола, 106)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 159 «Яблонька» (ул. Шевченко, 55)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 75 «Забава» (ул. 2-я Линия, 31)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Аптеки</w:t>
            </w: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: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Аптека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Островского, 95)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Аптека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«Лекарь» (ул. Островского, 101)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Аптека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Строителей, 1а)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Аптека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«Лекарь» (ул. 10-я Линия, 35)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Аптека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Высоковольтная, 40)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Отделение почты России №26 </w:t>
            </w:r>
            <w:r w:rsidRPr="00677F1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(ул. Ленинского Комсомола, 107)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677F11" w:rsidRPr="00677F11" w:rsidRDefault="00677F11" w:rsidP="00677F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77F11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Медицинские учреждения: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Рязанский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клинический кардиологический диспансер  (ул.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Стройкова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Городской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клинический роддом №2 (ул. Островского,  71/54)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Стоматологическая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 №3 (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ул.Черновицкая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д.28)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Городская поликлиника №6 (ул. Гагарина, д.53)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Квартир: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общей площадью – 16 531,11   кв. м, из них: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 – 198;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  -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трехкомнатных – 50.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в подвальном этаже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без конкретной технологии (назначения)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возможностью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размещения инженерно-технических помещений: водомерный узел,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помещение хранения уборочного инвентаря для уборки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здания дома. В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  отсутствия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инженерных коммуникаций предусматривается возможность размещения нежилых помещений (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кладовых).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Состав общего имущества в </w:t>
            </w: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этаж, ограждающие 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несущие и ненесущие конструкции,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узлы ввода и учета воды, тепла, земельный участок.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года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города Рязани.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Возможные финансовые и прочие риски при </w:t>
            </w: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Застройщик относит к рискам следующие обстоятельства: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Планируемая 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413 280 000 рублей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«Квадрат»;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РязаньГоргаз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«РГРЭС»;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«Свет города Рязани»;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Стройпромальянс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Стройтехальянс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Евтюхин</w:t>
            </w:r>
            <w:proofErr w:type="spell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«Водоканал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 Рязани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«Благоустройство города и дорожного хозяйства администрации города Рязани»;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«Ростелеком»;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«Группа компаний «ЕДИНСТВО».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Федеральным</w:t>
            </w:r>
            <w:proofErr w:type="gramEnd"/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  обеспечение обязательств по договорам  участия в долевом строительстве осуществляется: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залог – в порядке, установленном статьями 13-15 Закона;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статьей 15.2 Закона.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Страховщик ООО «Страховая Инвестиционная Компания» (ОГРН 1025400510123,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5401180222).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lastRenderedPageBreak/>
              <w:t>Правила страхования гражданской ответственности Застройщика (</w:t>
            </w:r>
            <w:hyperlink r:id="rId5" w:history="1">
              <w:r w:rsidRPr="00677F11">
                <w:rPr>
                  <w:rFonts w:ascii="Calibri" w:eastAsia="Times New Roman" w:hAnsi="Calibri" w:cs="Calibri"/>
                  <w:color w:val="60534C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677F11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).</w:t>
            </w:r>
          </w:p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Ознакомиться с правилами на </w:t>
            </w:r>
            <w:hyperlink r:id="rId6" w:tgtFrame="_blank" w:history="1">
              <w:r w:rsidRPr="00677F11">
                <w:rPr>
                  <w:rFonts w:ascii="Calibri" w:eastAsia="Times New Roman" w:hAnsi="Calibri" w:cs="Calibri"/>
                  <w:color w:val="60534C"/>
                  <w:sz w:val="21"/>
                  <w:szCs w:val="21"/>
                  <w:u w:val="single"/>
                  <w:lang w:eastAsia="ru-RU"/>
                </w:rPr>
                <w:t>официальном сайте</w:t>
              </w:r>
            </w:hyperlink>
            <w:r w:rsidRPr="00677F11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 Страховщика.</w:t>
            </w:r>
          </w:p>
        </w:tc>
      </w:tr>
      <w:tr w:rsidR="00677F11" w:rsidRPr="00677F11" w:rsidTr="00677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7F11" w:rsidRPr="00677F11" w:rsidRDefault="00677F11" w:rsidP="0067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</w:tbl>
    <w:p w:rsidR="00677F11" w:rsidRPr="00677F11" w:rsidRDefault="00677F11" w:rsidP="00677F11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77F1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677F11" w:rsidRPr="00677F11" w:rsidRDefault="00677F11" w:rsidP="00677F11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77F1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552738" w:rsidRDefault="00552738"/>
    <w:sectPr w:rsidR="0055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11"/>
    <w:rsid w:val="00552738"/>
    <w:rsid w:val="006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9582-358B-4329-BBE3-C6A5A4FE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F11"/>
    <w:rPr>
      <w:b/>
      <w:bCs/>
    </w:rPr>
  </w:style>
  <w:style w:type="character" w:customStyle="1" w:styleId="apple-converted-space">
    <w:name w:val="apple-converted-space"/>
    <w:basedOn w:val="a0"/>
    <w:rsid w:val="00677F11"/>
  </w:style>
  <w:style w:type="character" w:styleId="a5">
    <w:name w:val="Emphasis"/>
    <w:basedOn w:val="a0"/>
    <w:uiPriority w:val="20"/>
    <w:qFormat/>
    <w:rsid w:val="00677F11"/>
    <w:rPr>
      <w:i/>
      <w:iCs/>
    </w:rPr>
  </w:style>
  <w:style w:type="character" w:styleId="a6">
    <w:name w:val="Hyperlink"/>
    <w:basedOn w:val="a0"/>
    <w:uiPriority w:val="99"/>
    <w:semiHidden/>
    <w:unhideWhenUsed/>
    <w:rsid w:val="00677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-stinko.ru/strahovanie-otvetstvennosti-zastroishikov/" TargetMode="External"/><Relationship Id="rId5" Type="http://schemas.openxmlformats.org/officeDocument/2006/relationships/hyperlink" Target="http://site/download/insurance_builder_rule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2373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2017-06-09T14:06:00Z</dcterms:created>
  <dcterms:modified xsi:type="dcterms:W3CDTF">2017-06-09T14:07:00Z</dcterms:modified>
</cp:coreProperties>
</file>